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76DB" w14:textId="77777777" w:rsidR="0058267E" w:rsidRDefault="00000000">
      <w:pPr>
        <w:spacing w:after="360"/>
        <w:jc w:val="center"/>
      </w:pPr>
      <w:r>
        <w:rPr>
          <w:b/>
          <w:bCs/>
          <w:sz w:val="28"/>
          <w:szCs w:val="28"/>
        </w:rPr>
        <w:t>PLANTILLA DE EJEMPLO: Desarrollo Humano y Políticas Sociales en América Latina</w:t>
      </w:r>
    </w:p>
    <w:p w14:paraId="66275E63" w14:textId="77777777" w:rsidR="0058267E" w:rsidRDefault="00000000">
      <w:pPr>
        <w:spacing w:after="120"/>
      </w:pPr>
      <w:r>
        <w:rPr>
          <w:b/>
          <w:bCs/>
        </w:rPr>
        <w:t>Resumen</w:t>
      </w:r>
    </w:p>
    <w:p w14:paraId="0F5CE9F6" w14:textId="77777777" w:rsidR="0058267E" w:rsidRDefault="00000000">
      <w:pPr>
        <w:spacing w:after="240"/>
        <w:jc w:val="both"/>
      </w:pPr>
      <w:r>
        <w:t>Este artículo examina las políticas de inclusión social implementadas en tres países de América Latina durante la última década. A través de un análisis comparativo de marcos normativos y resultados de implementación, se argumenta que la inclusión efectiva requiere articulación entre política pública, participación comunitaria y evaluación sistemática. Los hallazgos indican que los países con mayor coordinación interinstitucional han logrado mejores indicadores de cobertura, aunque persisten desafíos en la sostenibilidad fiscal y la equidad territorial. Se concluye que es necesario fortalecer la evaluación de impacto y la participación de beneficiarios en el diseño de políticas.</w:t>
      </w:r>
    </w:p>
    <w:p w14:paraId="7A884EB7" w14:textId="77777777" w:rsidR="0058267E" w:rsidRDefault="00000000">
      <w:pPr>
        <w:spacing w:after="360"/>
        <w:jc w:val="both"/>
      </w:pPr>
      <w:r>
        <w:rPr>
          <w:b/>
          <w:bCs/>
        </w:rPr>
        <w:t xml:space="preserve">Palabras clave: </w:t>
      </w:r>
      <w:r>
        <w:t>políticas sociales; inclusión; América Latina; desarrollo humano; evaluación de impacto.</w:t>
      </w:r>
    </w:p>
    <w:p w14:paraId="5A40C634" w14:textId="77777777" w:rsidR="0058267E" w:rsidRDefault="00000000">
      <w:pPr>
        <w:spacing w:after="120"/>
      </w:pPr>
      <w:r>
        <w:rPr>
          <w:b/>
          <w:bCs/>
        </w:rPr>
        <w:t>Introducción</w:t>
      </w:r>
    </w:p>
    <w:p w14:paraId="02009F52" w14:textId="155D9421" w:rsidR="0058267E" w:rsidRDefault="00000000">
      <w:pPr>
        <w:spacing w:after="240"/>
        <w:jc w:val="both"/>
      </w:pPr>
      <w:r>
        <w:t>Las políticas de inclusión social constituyen uno de los ejes centrales de la agenda pública en América Latina.</w:t>
      </w:r>
      <w:r w:rsidR="006F4525">
        <w:rPr>
          <w:rStyle w:val="Refdenotaalpie"/>
        </w:rPr>
        <w:footnoteReference w:id="1"/>
      </w:r>
      <w:r>
        <w:t xml:space="preserve"> Durante las últimas dos décadas, los gobiernos de la región han invertido recursos significativos en programas dirigidos a reducir la desigualdad y ampliar el acceso a servicios básicos. Sin embargo, la efectividad de estas políticas sigue siendo objeto de debate académico y político.</w:t>
      </w:r>
    </w:p>
    <w:p w14:paraId="6CECCBE0" w14:textId="77777777" w:rsidR="0058267E" w:rsidRDefault="00000000">
      <w:pPr>
        <w:spacing w:after="240"/>
        <w:jc w:val="both"/>
      </w:pPr>
      <w:r>
        <w:t>Este artículo se propone analizar las características comunes y diferencias de las políticas implementadas en tres países seleccionados durante el período 2010-2024. Para ello, se utilizó una metodología comparativa que combinó análisis documental de marcos normativos y evaluación de indicadores de resultado.</w:t>
      </w:r>
    </w:p>
    <w:p w14:paraId="53564E55" w14:textId="77777777" w:rsidR="0058267E" w:rsidRDefault="00000000">
      <w:pPr>
        <w:spacing w:before="240" w:after="120"/>
      </w:pPr>
      <w:r>
        <w:rPr>
          <w:b/>
          <w:bCs/>
          <w:sz w:val="26"/>
          <w:szCs w:val="26"/>
        </w:rPr>
        <w:t>1. Marco teórico y conceptual</w:t>
      </w:r>
    </w:p>
    <w:p w14:paraId="3107EA52" w14:textId="77777777" w:rsidR="0058267E" w:rsidRDefault="00000000">
      <w:pPr>
        <w:spacing w:after="240"/>
        <w:jc w:val="both"/>
      </w:pPr>
      <w:r>
        <w:t>La inclusión social ha sido definida desde múltiples perspectivas en la literatura académica. Amartya Sen la vinculó explícitamente con el enfoque de capacidades, argumentando que la inclusión genuina requiere que los individuos tengan oportunidades reales de participación en la vida económica y social.</w:t>
      </w:r>
    </w:p>
    <w:p w14:paraId="17B524A8" w14:textId="77777777" w:rsidR="0058267E" w:rsidRDefault="00000000">
      <w:pPr>
        <w:spacing w:after="120"/>
      </w:pPr>
      <w:r>
        <w:rPr>
          <w:b/>
          <w:bCs/>
        </w:rPr>
        <w:t>1.1 Definiciones operacionales</w:t>
      </w:r>
    </w:p>
    <w:p w14:paraId="1B4C04D8" w14:textId="77777777" w:rsidR="0058267E" w:rsidRDefault="00000000">
      <w:pPr>
        <w:spacing w:after="240"/>
        <w:jc w:val="both"/>
      </w:pPr>
      <w:r>
        <w:t xml:space="preserve">Para propósitos de este análisis, se utilizó la siguiente definición operacional de inclusión social: el proceso mediante el cual los gobiernos crean y mantienen condiciones que permiten la participación equitativa de toda la población en la </w:t>
      </w:r>
      <w:r>
        <w:lastRenderedPageBreak/>
        <w:t>vida económica, política y social de sus comunidades. Esta definición requiere tres componentes: acceso, participación y reconocimiento.</w:t>
      </w:r>
    </w:p>
    <w:p w14:paraId="4E6294B4" w14:textId="77777777" w:rsidR="0058267E" w:rsidRDefault="00000000">
      <w:pPr>
        <w:spacing w:before="240" w:after="120"/>
      </w:pPr>
      <w:r>
        <w:rPr>
          <w:b/>
          <w:bCs/>
          <w:sz w:val="26"/>
          <w:szCs w:val="26"/>
        </w:rPr>
        <w:t>2. Análisis comparativo de políticas</w:t>
      </w:r>
    </w:p>
    <w:p w14:paraId="36EFAD1C" w14:textId="77777777" w:rsidR="0058267E" w:rsidRDefault="00000000">
      <w:pPr>
        <w:spacing w:after="240"/>
        <w:jc w:val="both"/>
      </w:pPr>
      <w:r>
        <w:t>Las tres jurisdicciones estudiadas implementaron estrategias distintas pero complementarias. El Banco Interamericano de Desarrollo ha señalado que la coordinación intersectorial constituye un factor crítico de éxito:</w:t>
      </w:r>
    </w:p>
    <w:p w14:paraId="23D0DE58" w14:textId="77777777" w:rsidR="0058267E" w:rsidRDefault="00000000">
      <w:pPr>
        <w:spacing w:before="120" w:after="240"/>
        <w:ind w:left="720" w:right="720"/>
      </w:pPr>
      <w:r>
        <w:rPr>
          <w:sz w:val="22"/>
          <w:szCs w:val="22"/>
        </w:rPr>
        <w:t>"La inclusión social no es simplemente un objetivo de política pública aislado. Debe ser entendida como una estrategia transversal que permea todas las funciones del gobierno y que requiere coordinación explícita entre ministerios, gobiernos subnacionales y actores de la sociedad civil. Los países que han avanzado más en este sentido son aquellos que han creado estructuras formales de coordinación con presupuesto dedicado y responsabilidades claras."</w:t>
      </w:r>
    </w:p>
    <w:p w14:paraId="1EEEA146" w14:textId="77777777" w:rsidR="0058267E" w:rsidRDefault="00000000">
      <w:pPr>
        <w:spacing w:after="240"/>
        <w:jc w:val="both"/>
      </w:pPr>
      <w:r>
        <w:t>Este diagnóstico fue corroborado por los hallazgos de la investigación de campo realizada entre 2022 y 2024. Los entrevistados en posiciones de responsabilidad institucional reconocieron que la fragmentación de autoridades constituyó un obstáculo significativo para la efectividad.</w:t>
      </w:r>
    </w:p>
    <w:p w14:paraId="43ADC2F6" w14:textId="77777777" w:rsidR="0058267E" w:rsidRDefault="00000000">
      <w:pPr>
        <w:spacing w:after="240"/>
      </w:pPr>
      <w:r>
        <w:rPr>
          <w:b/>
          <w:bCs/>
          <w:sz w:val="22"/>
          <w:szCs w:val="22"/>
        </w:rPr>
        <w:t xml:space="preserve">TABLA 1: Ejemplos de citas en Chicago Manual </w:t>
      </w:r>
      <w:proofErr w:type="spellStart"/>
      <w:r>
        <w:rPr>
          <w:b/>
          <w:bCs/>
          <w:sz w:val="22"/>
          <w:szCs w:val="22"/>
        </w:rPr>
        <w:t>of</w:t>
      </w:r>
      <w:proofErr w:type="spellEnd"/>
      <w:r>
        <w:rPr>
          <w:b/>
          <w:bCs/>
          <w:sz w:val="22"/>
          <w:szCs w:val="22"/>
        </w:rPr>
        <w:t xml:space="preserve"> Style, 17ª edición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3"/>
        <w:gridCol w:w="3703"/>
        <w:gridCol w:w="3816"/>
      </w:tblGrid>
      <w:tr w:rsidR="0058267E" w14:paraId="79A9C788" w14:textId="77777777">
        <w:tblPrEx>
          <w:tblCellMar>
            <w:top w:w="0" w:type="dxa"/>
            <w:bottom w:w="0" w:type="dxa"/>
          </w:tblCellMar>
        </w:tblPrEx>
        <w:tc>
          <w:tcPr>
            <w:tcW w:w="0" w:type="auto"/>
            <w:tcBorders>
              <w:top w:val="single" w:sz="1" w:space="0" w:color="auto"/>
              <w:left w:val="single" w:sz="1" w:space="0" w:color="auto"/>
              <w:bottom w:val="single" w:sz="1" w:space="0" w:color="auto"/>
              <w:right w:val="single" w:sz="1" w:space="0" w:color="auto"/>
            </w:tcBorders>
            <w:shd w:val="clear" w:color="auto" w:fill="D0CECE"/>
            <w:tcMar>
              <w:top w:w="60" w:type="dxa"/>
              <w:left w:w="80" w:type="dxa"/>
              <w:bottom w:w="60" w:type="dxa"/>
              <w:right w:w="80" w:type="dxa"/>
            </w:tcMar>
          </w:tcPr>
          <w:p w14:paraId="7C1D2A9C" w14:textId="77777777" w:rsidR="0058267E" w:rsidRDefault="00000000">
            <w:r>
              <w:rPr>
                <w:b/>
                <w:bCs/>
                <w:sz w:val="22"/>
                <w:szCs w:val="22"/>
              </w:rPr>
              <w:t>Tipo</w:t>
            </w:r>
          </w:p>
        </w:tc>
        <w:tc>
          <w:tcPr>
            <w:tcW w:w="0" w:type="auto"/>
            <w:tcBorders>
              <w:top w:val="single" w:sz="1" w:space="0" w:color="auto"/>
              <w:left w:val="single" w:sz="1" w:space="0" w:color="auto"/>
              <w:bottom w:val="single" w:sz="1" w:space="0" w:color="auto"/>
              <w:right w:val="single" w:sz="1" w:space="0" w:color="auto"/>
            </w:tcBorders>
            <w:shd w:val="clear" w:color="auto" w:fill="D0CECE"/>
            <w:tcMar>
              <w:top w:w="60" w:type="dxa"/>
              <w:left w:w="80" w:type="dxa"/>
              <w:bottom w:w="60" w:type="dxa"/>
              <w:right w:w="80" w:type="dxa"/>
            </w:tcMar>
          </w:tcPr>
          <w:p w14:paraId="05F89B4F" w14:textId="77777777" w:rsidR="0058267E" w:rsidRDefault="00000000">
            <w:r>
              <w:rPr>
                <w:b/>
                <w:bCs/>
                <w:sz w:val="22"/>
                <w:szCs w:val="22"/>
              </w:rPr>
              <w:t>Nota al pie</w:t>
            </w:r>
          </w:p>
        </w:tc>
        <w:tc>
          <w:tcPr>
            <w:tcW w:w="0" w:type="auto"/>
            <w:tcBorders>
              <w:top w:val="single" w:sz="1" w:space="0" w:color="auto"/>
              <w:left w:val="single" w:sz="1" w:space="0" w:color="auto"/>
              <w:bottom w:val="single" w:sz="1" w:space="0" w:color="auto"/>
              <w:right w:val="single" w:sz="1" w:space="0" w:color="auto"/>
            </w:tcBorders>
            <w:shd w:val="clear" w:color="auto" w:fill="D0CECE"/>
            <w:tcMar>
              <w:top w:w="60" w:type="dxa"/>
              <w:left w:w="80" w:type="dxa"/>
              <w:bottom w:w="60" w:type="dxa"/>
              <w:right w:w="80" w:type="dxa"/>
            </w:tcMar>
          </w:tcPr>
          <w:p w14:paraId="2D6AEA43" w14:textId="77777777" w:rsidR="0058267E" w:rsidRDefault="00000000">
            <w:r>
              <w:rPr>
                <w:b/>
                <w:bCs/>
                <w:sz w:val="22"/>
                <w:szCs w:val="22"/>
              </w:rPr>
              <w:t>Bibliografía</w:t>
            </w:r>
          </w:p>
        </w:tc>
      </w:tr>
      <w:tr w:rsidR="0058267E" w14:paraId="53B41BB0" w14:textId="77777777">
        <w:tblPrEx>
          <w:tblCellMar>
            <w:top w:w="0" w:type="dxa"/>
            <w:bottom w:w="0" w:type="dxa"/>
          </w:tblCellMar>
        </w:tblPrEx>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01589948" w14:textId="77777777" w:rsidR="0058267E" w:rsidRDefault="00000000">
            <w:r>
              <w:rPr>
                <w:sz w:val="20"/>
                <w:szCs w:val="20"/>
              </w:rPr>
              <w:t>Libro (1 autor)</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3EFD0FC9" w14:textId="77777777" w:rsidR="0058267E" w:rsidRDefault="00000000">
            <w:r>
              <w:rPr>
                <w:sz w:val="20"/>
                <w:szCs w:val="20"/>
              </w:rPr>
              <w:t>Juan Pérez, Políticas sociales en contextos de desigualdad (Buenos Aires: Editorial Siglo XXI, 2023), 45.</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0D536771" w14:textId="77777777" w:rsidR="0058267E" w:rsidRDefault="00000000">
            <w:r>
              <w:rPr>
                <w:sz w:val="20"/>
                <w:szCs w:val="20"/>
              </w:rPr>
              <w:t>Pérez, Juan. Políticas sociales en contextos de desigualdad. Buenos Aires: Editorial Siglo XXI, 2023.</w:t>
            </w:r>
          </w:p>
        </w:tc>
      </w:tr>
      <w:tr w:rsidR="0058267E" w14:paraId="68E3ABA7" w14:textId="77777777">
        <w:tblPrEx>
          <w:tblCellMar>
            <w:top w:w="0" w:type="dxa"/>
            <w:bottom w:w="0" w:type="dxa"/>
          </w:tblCellMar>
        </w:tblPrEx>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3F970D46" w14:textId="77777777" w:rsidR="0058267E" w:rsidRDefault="00000000">
            <w:r>
              <w:rPr>
                <w:sz w:val="20"/>
                <w:szCs w:val="20"/>
              </w:rPr>
              <w:t>Artículo en revista</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20E50435" w14:textId="77777777" w:rsidR="0058267E" w:rsidRDefault="00000000">
            <w:r>
              <w:rPr>
                <w:sz w:val="20"/>
                <w:szCs w:val="20"/>
              </w:rPr>
              <w:t>María García, "Evaluación de políticas de inclusión", Revista de Análisis Político 15, no. 3 (2023): 112.</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0CDF2D90" w14:textId="77777777" w:rsidR="0058267E" w:rsidRDefault="00000000">
            <w:r>
              <w:rPr>
                <w:sz w:val="20"/>
                <w:szCs w:val="20"/>
              </w:rPr>
              <w:t>García, María. "Evaluación de políticas de inclusión". Revista de Análisis Político 15, no. 3 (2023): 112-145.</w:t>
            </w:r>
          </w:p>
        </w:tc>
      </w:tr>
      <w:tr w:rsidR="0058267E" w14:paraId="0735E19F" w14:textId="77777777">
        <w:tblPrEx>
          <w:tblCellMar>
            <w:top w:w="0" w:type="dxa"/>
            <w:bottom w:w="0" w:type="dxa"/>
          </w:tblCellMar>
        </w:tblPrEx>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013D044E" w14:textId="77777777" w:rsidR="0058267E" w:rsidRDefault="00000000">
            <w:r>
              <w:rPr>
                <w:sz w:val="20"/>
                <w:szCs w:val="20"/>
              </w:rPr>
              <w:t>Artículo en libro</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1CDAE7A0" w14:textId="77777777" w:rsidR="0058267E" w:rsidRDefault="00000000">
            <w:r>
              <w:rPr>
                <w:sz w:val="20"/>
                <w:szCs w:val="20"/>
              </w:rPr>
              <w:t>Carlos López, "Participación comunitaria en políticas locales", en Desarrollo y democracia en América Latina, ed. Roberto Martínez (Santiago: Editorial Andrés Bello, 2022), 234-268.</w:t>
            </w:r>
          </w:p>
        </w:tc>
        <w:tc>
          <w:tcPr>
            <w:tcW w:w="0" w:type="auto"/>
            <w:tcBorders>
              <w:top w:val="single" w:sz="1" w:space="0" w:color="auto"/>
              <w:left w:val="single" w:sz="1" w:space="0" w:color="auto"/>
              <w:bottom w:val="single" w:sz="1" w:space="0" w:color="auto"/>
              <w:right w:val="single" w:sz="1" w:space="0" w:color="auto"/>
            </w:tcBorders>
            <w:tcMar>
              <w:top w:w="60" w:type="dxa"/>
              <w:left w:w="80" w:type="dxa"/>
              <w:bottom w:w="60" w:type="dxa"/>
              <w:right w:w="80" w:type="dxa"/>
            </w:tcMar>
          </w:tcPr>
          <w:p w14:paraId="14F49CF3" w14:textId="77777777" w:rsidR="0058267E" w:rsidRDefault="00000000">
            <w:r>
              <w:rPr>
                <w:sz w:val="20"/>
                <w:szCs w:val="20"/>
              </w:rPr>
              <w:t>López, Carlos. "Participación comunitaria en políticas locales". En Desarrollo y democracia en América Latina, editado por Roberto Martínez, 234-268. Santiago: Editorial Andrés Bello, 2022.</w:t>
            </w:r>
          </w:p>
        </w:tc>
      </w:tr>
    </w:tbl>
    <w:p w14:paraId="391D4998" w14:textId="77777777" w:rsidR="0058267E" w:rsidRDefault="0058267E"/>
    <w:p w14:paraId="339D3096" w14:textId="77777777" w:rsidR="0058267E" w:rsidRDefault="00000000">
      <w:pPr>
        <w:spacing w:after="360"/>
      </w:pPr>
      <w:r>
        <w:rPr>
          <w:sz w:val="20"/>
          <w:szCs w:val="20"/>
        </w:rPr>
        <w:t xml:space="preserve">Fuente: Elaboración propia basada en Chicago Manual </w:t>
      </w:r>
      <w:proofErr w:type="spellStart"/>
      <w:r>
        <w:rPr>
          <w:sz w:val="20"/>
          <w:szCs w:val="20"/>
        </w:rPr>
        <w:t>of</w:t>
      </w:r>
      <w:proofErr w:type="spellEnd"/>
      <w:r>
        <w:rPr>
          <w:sz w:val="20"/>
          <w:szCs w:val="20"/>
        </w:rPr>
        <w:t xml:space="preserve"> Style, 17ª edición.</w:t>
      </w:r>
    </w:p>
    <w:p w14:paraId="305DBCEA" w14:textId="77777777" w:rsidR="0058267E" w:rsidRDefault="00000000">
      <w:r>
        <w:br w:type="page"/>
      </w:r>
    </w:p>
    <w:p w14:paraId="17252F5B" w14:textId="77777777" w:rsidR="0058267E" w:rsidRDefault="00000000">
      <w:pPr>
        <w:spacing w:before="240" w:after="120"/>
      </w:pPr>
      <w:r>
        <w:rPr>
          <w:b/>
          <w:bCs/>
          <w:sz w:val="26"/>
          <w:szCs w:val="26"/>
        </w:rPr>
        <w:lastRenderedPageBreak/>
        <w:t>Conclusiones</w:t>
      </w:r>
    </w:p>
    <w:p w14:paraId="08968171" w14:textId="77777777" w:rsidR="0058267E" w:rsidRDefault="00000000">
      <w:pPr>
        <w:spacing w:after="240"/>
        <w:jc w:val="both"/>
      </w:pPr>
      <w:r>
        <w:t>Este análisis comparativo ha permitido identificar factores críticos de éxito en la implementación de políticas de inclusión social. La investigación sugiere que la efectividad depende menos de la sofisticación teórica de los marcos normativos y más de la capacidad institucional de coordinar acciones multisectoriales de manera consistente.</w:t>
      </w:r>
    </w:p>
    <w:p w14:paraId="10F07531" w14:textId="77777777" w:rsidR="0058267E" w:rsidRDefault="00000000">
      <w:pPr>
        <w:spacing w:after="240"/>
        <w:jc w:val="both"/>
      </w:pPr>
      <w:r>
        <w:t>Las recomendaciones que se derivan de este trabajo apuntan a fortalecer cuatro dimensiones: primero, crear estructuras formales de coordinación con presupuesto e institucionalidad permanente; segundo, desarrollar sistemas de información que permitan monitoreo continuo de indicadores; tercero, garantizar participación real de beneficiarios en el diseño y evaluación de políticas; y cuarto, asignar recursos para evaluación rigurosa de impacto.</w:t>
      </w:r>
    </w:p>
    <w:p w14:paraId="73CC818F" w14:textId="77777777" w:rsidR="0058267E" w:rsidRDefault="00000000">
      <w:pPr>
        <w:spacing w:before="240" w:after="120"/>
      </w:pPr>
      <w:r>
        <w:rPr>
          <w:b/>
          <w:bCs/>
          <w:sz w:val="26"/>
          <w:szCs w:val="26"/>
        </w:rPr>
        <w:t>Bibliografía</w:t>
      </w:r>
    </w:p>
    <w:p w14:paraId="079343F6" w14:textId="77777777" w:rsidR="0058267E" w:rsidRDefault="00000000">
      <w:pPr>
        <w:spacing w:after="180"/>
        <w:ind w:left="720" w:hanging="720"/>
      </w:pPr>
      <w:r>
        <w:rPr>
          <w:sz w:val="22"/>
          <w:szCs w:val="22"/>
        </w:rPr>
        <w:t>Banco Interamericano de Desarrollo. Inclusión social y desarrollo económico en América Latina: Perspectivas para la próxima década. Washington: BID, 2021.</w:t>
      </w:r>
    </w:p>
    <w:p w14:paraId="37A2F555" w14:textId="77777777" w:rsidR="0058267E" w:rsidRDefault="00000000">
      <w:pPr>
        <w:spacing w:after="180"/>
        <w:ind w:left="720" w:hanging="720"/>
      </w:pPr>
      <w:r>
        <w:rPr>
          <w:sz w:val="22"/>
          <w:szCs w:val="22"/>
        </w:rPr>
        <w:t>García, María. "Evaluación de políticas de inclusión". Revista de Análisis Político 15, no. 3 (2023): 112-145.</w:t>
      </w:r>
    </w:p>
    <w:p w14:paraId="01AA83DE" w14:textId="77777777" w:rsidR="0058267E" w:rsidRDefault="00000000">
      <w:pPr>
        <w:spacing w:after="180"/>
        <w:ind w:left="720" w:hanging="720"/>
      </w:pPr>
      <w:r>
        <w:rPr>
          <w:sz w:val="22"/>
          <w:szCs w:val="22"/>
        </w:rPr>
        <w:t>López, Carlos. "Participación comunitaria en políticas locales". En Desarrollo y democracia en América Latina, editado por Roberto Martínez, 234-268. Santiago: Editorial Andrés Bello, 2022.</w:t>
      </w:r>
    </w:p>
    <w:p w14:paraId="059181CA" w14:textId="77777777" w:rsidR="0058267E" w:rsidRDefault="00000000">
      <w:pPr>
        <w:spacing w:after="180"/>
        <w:ind w:left="720" w:hanging="720"/>
      </w:pPr>
      <w:r>
        <w:rPr>
          <w:sz w:val="22"/>
          <w:szCs w:val="22"/>
        </w:rPr>
        <w:t>Pérez, Juan. Políticas sociales en contextos de desigualdad. Buenos Aires: Editorial Siglo XXI, 2023.</w:t>
      </w:r>
    </w:p>
    <w:p w14:paraId="3A2CE752" w14:textId="77777777" w:rsidR="0058267E" w:rsidRDefault="00000000">
      <w:pPr>
        <w:spacing w:after="180"/>
        <w:ind w:left="720" w:hanging="720"/>
      </w:pPr>
      <w:r>
        <w:rPr>
          <w:sz w:val="22"/>
          <w:szCs w:val="22"/>
        </w:rPr>
        <w:t xml:space="preserve">Sen, Amartya. </w:t>
      </w:r>
      <w:proofErr w:type="spellStart"/>
      <w:r>
        <w:rPr>
          <w:sz w:val="22"/>
          <w:szCs w:val="22"/>
        </w:rPr>
        <w:t>Development</w:t>
      </w:r>
      <w:proofErr w:type="spellEnd"/>
      <w:r>
        <w:rPr>
          <w:sz w:val="22"/>
          <w:szCs w:val="22"/>
        </w:rPr>
        <w:t xml:space="preserve"> as Freedom. Oxford: Oxford </w:t>
      </w:r>
      <w:proofErr w:type="spellStart"/>
      <w:r>
        <w:rPr>
          <w:sz w:val="22"/>
          <w:szCs w:val="22"/>
        </w:rPr>
        <w:t>University</w:t>
      </w:r>
      <w:proofErr w:type="spellEnd"/>
      <w:r>
        <w:rPr>
          <w:sz w:val="22"/>
          <w:szCs w:val="22"/>
        </w:rPr>
        <w:t xml:space="preserve"> Press, 1999.</w:t>
      </w:r>
    </w:p>
    <w:p w14:paraId="759EACCC" w14:textId="3F4A3949" w:rsidR="0058267E" w:rsidRDefault="0058267E"/>
    <w:sectPr w:rsidR="0058267E">
      <w:footnotePr>
        <w:pos w:val="beneathText"/>
      </w:footnotePr>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B549" w14:textId="77777777" w:rsidR="003F7338" w:rsidRDefault="003F7338" w:rsidP="006F4525">
      <w:r>
        <w:separator/>
      </w:r>
    </w:p>
  </w:endnote>
  <w:endnote w:type="continuationSeparator" w:id="0">
    <w:p w14:paraId="28479036" w14:textId="77777777" w:rsidR="003F7338" w:rsidRDefault="003F7338" w:rsidP="006F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3C9A" w14:textId="77777777" w:rsidR="003F7338" w:rsidRDefault="003F7338" w:rsidP="006F4525">
      <w:r>
        <w:separator/>
      </w:r>
    </w:p>
  </w:footnote>
  <w:footnote w:type="continuationSeparator" w:id="0">
    <w:p w14:paraId="5641045C" w14:textId="77777777" w:rsidR="003F7338" w:rsidRDefault="003F7338" w:rsidP="006F4525">
      <w:r>
        <w:continuationSeparator/>
      </w:r>
    </w:p>
  </w:footnote>
  <w:footnote w:id="1">
    <w:p w14:paraId="42086BC9" w14:textId="1A0EF936" w:rsidR="006F4525" w:rsidRDefault="006F4525">
      <w:pPr>
        <w:pStyle w:val="Textonotapie"/>
      </w:pPr>
      <w:r>
        <w:rPr>
          <w:rStyle w:val="Refdenotaalpie"/>
        </w:rPr>
        <w:footnoteRef/>
      </w:r>
      <w:r>
        <w:t xml:space="preserve"> </w:t>
      </w:r>
      <w:r>
        <w:t>Según datos del Banco Mundial, entre 2000 y 2020, los gastos en políticas sociales en América Latina se incrementaron en más de 300%, reflejando el creciente compromiso político con este tema.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14A8"/>
    <w:multiLevelType w:val="hybridMultilevel"/>
    <w:tmpl w:val="748E0CF0"/>
    <w:lvl w:ilvl="0" w:tplc="AA6209E0">
      <w:start w:val="1"/>
      <w:numFmt w:val="bullet"/>
      <w:lvlText w:val="●"/>
      <w:lvlJc w:val="left"/>
      <w:pPr>
        <w:ind w:left="720" w:hanging="360"/>
      </w:pPr>
    </w:lvl>
    <w:lvl w:ilvl="1" w:tplc="1340C5DC">
      <w:start w:val="1"/>
      <w:numFmt w:val="bullet"/>
      <w:lvlText w:val="○"/>
      <w:lvlJc w:val="left"/>
      <w:pPr>
        <w:ind w:left="1440" w:hanging="360"/>
      </w:pPr>
    </w:lvl>
    <w:lvl w:ilvl="2" w:tplc="347A805A">
      <w:start w:val="1"/>
      <w:numFmt w:val="bullet"/>
      <w:lvlText w:val="■"/>
      <w:lvlJc w:val="left"/>
      <w:pPr>
        <w:ind w:left="2160" w:hanging="360"/>
      </w:pPr>
    </w:lvl>
    <w:lvl w:ilvl="3" w:tplc="7228ED38">
      <w:start w:val="1"/>
      <w:numFmt w:val="bullet"/>
      <w:lvlText w:val="●"/>
      <w:lvlJc w:val="left"/>
      <w:pPr>
        <w:ind w:left="2880" w:hanging="360"/>
      </w:pPr>
    </w:lvl>
    <w:lvl w:ilvl="4" w:tplc="151AE336">
      <w:start w:val="1"/>
      <w:numFmt w:val="bullet"/>
      <w:lvlText w:val="○"/>
      <w:lvlJc w:val="left"/>
      <w:pPr>
        <w:ind w:left="3600" w:hanging="360"/>
      </w:pPr>
    </w:lvl>
    <w:lvl w:ilvl="5" w:tplc="4EF220C2">
      <w:start w:val="1"/>
      <w:numFmt w:val="bullet"/>
      <w:lvlText w:val="■"/>
      <w:lvlJc w:val="left"/>
      <w:pPr>
        <w:ind w:left="4320" w:hanging="360"/>
      </w:pPr>
    </w:lvl>
    <w:lvl w:ilvl="6" w:tplc="2C9E2620">
      <w:start w:val="1"/>
      <w:numFmt w:val="bullet"/>
      <w:lvlText w:val="●"/>
      <w:lvlJc w:val="left"/>
      <w:pPr>
        <w:ind w:left="5040" w:hanging="360"/>
      </w:pPr>
    </w:lvl>
    <w:lvl w:ilvl="7" w:tplc="190E9B14">
      <w:start w:val="1"/>
      <w:numFmt w:val="bullet"/>
      <w:lvlText w:val="●"/>
      <w:lvlJc w:val="left"/>
      <w:pPr>
        <w:ind w:left="5760" w:hanging="360"/>
      </w:pPr>
    </w:lvl>
    <w:lvl w:ilvl="8" w:tplc="FC1C6D2E">
      <w:start w:val="1"/>
      <w:numFmt w:val="bullet"/>
      <w:lvlText w:val="●"/>
      <w:lvlJc w:val="left"/>
      <w:pPr>
        <w:ind w:left="6480" w:hanging="360"/>
      </w:pPr>
    </w:lvl>
  </w:abstractNum>
  <w:num w:numId="1" w16cid:durableId="1764955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7E"/>
    <w:rsid w:val="000C0B0F"/>
    <w:rsid w:val="003F7338"/>
    <w:rsid w:val="0058267E"/>
    <w:rsid w:val="006F45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B87802D"/>
  <w15:docId w15:val="{BA3EEBD4-43A1-412E-9922-04B044FE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00CE332-766A-4DF5-9126-6E78F2CE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rodrigo arenas</cp:lastModifiedBy>
  <cp:revision>2</cp:revision>
  <dcterms:created xsi:type="dcterms:W3CDTF">2026-02-08T18:15:00Z</dcterms:created>
  <dcterms:modified xsi:type="dcterms:W3CDTF">2026-02-08T18:20:00Z</dcterms:modified>
</cp:coreProperties>
</file>